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right"/>
      </w:pPr>
      <w:r>
        <w:rPr>
          <w:rFonts w:ascii="Arial" w:cs="Arial" w:eastAsia="Arial" w:hAnsi="Arial"/>
          <w:i/>
          <w:iCs/>
          <w:color w:val="6B6B6B"/>
          <w:sz w:val="18"/>
          <w:szCs w:val="18"/>
        </w:rPr>
        <w:t xml:space="preserve">Образец заполнения по форме</w:t>
      </w:r>
    </w:p>
    <w:p>
      <w:pPr>
        <w:spacing w:after="40"/>
        <w:jc w:val="right"/>
      </w:pPr>
      <w:r>
        <w:rPr>
          <w:rFonts w:ascii="Arial" w:cs="Arial" w:eastAsia="Arial" w:hAnsi="Arial"/>
          <w:i/>
          <w:iCs/>
          <w:color w:val="6B6B6B"/>
          <w:sz w:val="18"/>
          <w:szCs w:val="18"/>
        </w:rPr>
        <w:t xml:space="preserve">Приложения № 2 к Порядку, утв. Приказом</w:t>
      </w:r>
    </w:p>
    <w:p>
      <w:pPr>
        <w:spacing w:after="200"/>
        <w:jc w:val="right"/>
      </w:pPr>
      <w:r>
        <w:rPr>
          <w:rFonts w:ascii="Arial" w:cs="Arial" w:eastAsia="Arial" w:hAnsi="Arial"/>
          <w:i/>
          <w:iCs/>
          <w:color w:val="6B6B6B"/>
          <w:sz w:val="18"/>
          <w:szCs w:val="18"/>
        </w:rPr>
        <w:t xml:space="preserve">Минцифры России от 31.03.2026 № 270</w:t>
      </w:r>
    </w:p>
    <w:p>
      <w:pPr>
        <w:shd w:fill="F4FBE8" w:val="clear"/>
        <w:spacing w:after="200"/>
        <w:jc w:val="center"/>
      </w:pPr>
      <w:r>
        <w:rPr>
          <w:rFonts w:ascii="Arial" w:cs="Arial" w:eastAsia="Arial" w:hAnsi="Arial"/>
          <w:i/>
          <w:iCs/>
          <w:color w:val="6B6B6B"/>
          <w:sz w:val="18"/>
          <w:szCs w:val="18"/>
        </w:rPr>
        <w:t xml:space="preserve">  ОБРАЗЕЦ ЗАПОЛНЕНИЯ. Демо-данные выделены </w:t>
      </w:r>
      <w:r>
        <w:rPr>
          <w:rFonts w:ascii="Arial" w:cs="Arial" w:eastAsia="Arial" w:hAnsi="Arial"/>
          <w:b/>
          <w:bCs/>
          <w:i/>
          <w:iCs/>
          <w:color w:val="74D414"/>
          <w:sz w:val="18"/>
          <w:szCs w:val="18"/>
        </w:rPr>
        <w:t xml:space="preserve">зелёным цветом</w:t>
      </w:r>
      <w:r>
        <w:rPr>
          <w:rFonts w:ascii="Arial" w:cs="Arial" w:eastAsia="Arial" w:hAnsi="Arial"/>
          <w:i/>
          <w:iCs/>
          <w:color w:val="6B6B6B"/>
          <w:sz w:val="18"/>
          <w:szCs w:val="18"/>
        </w:rPr>
        <w:t xml:space="preserve">. Реальные стороны и реквизиты — заменить.  </w:t>
      </w:r>
    </w:p>
    <w:p>
      <w:pPr>
        <w:spacing w:after="200"/>
        <w:jc w:val="center"/>
      </w:pPr>
      <w:r>
        <w:rPr>
          <w:rFonts w:ascii="Arial" w:cs="Arial" w:eastAsia="Arial" w:hAnsi="Arial"/>
          <w:b/>
          <w:bCs/>
          <w:sz w:val="28"/>
          <w:szCs w:val="28"/>
        </w:rPr>
        <w:t xml:space="preserve">СОГЛАШЕНИЕ № </w:t>
      </w:r>
      <w:r>
        <w:rPr>
          <w:rFonts w:ascii="Arial" w:cs="Arial" w:eastAsia="Arial" w:hAnsi="Arial"/>
          <w:b/>
          <w:bCs/>
          <w:color w:val="74D414"/>
          <w:sz w:val="22"/>
          <w:szCs w:val="22"/>
        </w:rPr>
        <w:t xml:space="preserve">СОГЛ-2026/047-ВО</w:t>
      </w:r>
    </w:p>
    <w:p>
      <w:pPr>
        <w:spacing w:after="240"/>
      </w:pPr>
      <w:r>
        <w:rPr>
          <w:rFonts w:ascii="Arial" w:cs="Arial" w:eastAsia="Arial" w:hAnsi="Arial"/>
          <w:b/>
          <w:bCs/>
          <w:color w:val="74D414"/>
          <w:sz w:val="22"/>
          <w:szCs w:val="22"/>
        </w:rPr>
        <w:t xml:space="preserve">г. Москва</w:t>
      </w:r>
      <w:r>
        <w:rPr>
          <w:rFonts w:ascii="Arial" w:cs="Arial" w:eastAsia="Arial" w:hAnsi="Arial"/>
          <w:sz w:val="22"/>
          <w:szCs w:val="22"/>
        </w:rPr>
        <w:t xml:space="preserve">                                                                                  </w:t>
      </w:r>
      <w:r>
        <w:rPr>
          <w:rFonts w:ascii="Arial" w:cs="Arial" w:eastAsia="Arial" w:hAnsi="Arial"/>
          <w:b/>
          <w:bCs/>
          <w:color w:val="74D414"/>
          <w:sz w:val="22"/>
          <w:szCs w:val="22"/>
        </w:rPr>
        <w:t xml:space="preserve">15 мая 2026 г.</w:t>
      </w:r>
    </w:p>
    <w:p>
      <w:pPr>
        <w:spacing w:after="120" w:line="300"/>
        <w:jc w:val="both"/>
      </w:pPr>
      <w:r>
        <w:rPr>
          <w:rFonts w:ascii="Arial" w:cs="Arial" w:eastAsia="Arial" w:hAnsi="Arial"/>
          <w:b/>
          <w:bCs/>
          <w:color w:val="74D414"/>
          <w:sz w:val="22"/>
          <w:szCs w:val="22"/>
        </w:rPr>
        <w:t xml:space="preserve">Федеральное государственное автономное образовательное учреждение высшего образования «Национальный исследовательский университет «Высшая школа экономики»</w:t>
      </w:r>
      <w:r>
        <w:rPr>
          <w:rFonts w:ascii="Arial" w:cs="Arial" w:eastAsia="Arial" w:hAnsi="Arial"/>
          <w:sz w:val="22"/>
          <w:szCs w:val="22"/>
        </w:rPr>
        <w:t xml:space="preserve">, именуемое в дальнейшем «Образовательная организация», в лице </w:t>
      </w:r>
      <w:r>
        <w:rPr>
          <w:rFonts w:ascii="Arial" w:cs="Arial" w:eastAsia="Arial" w:hAnsi="Arial"/>
          <w:b/>
          <w:bCs/>
          <w:color w:val="74D414"/>
          <w:sz w:val="22"/>
          <w:szCs w:val="22"/>
        </w:rPr>
        <w:t xml:space="preserve">проректора Покровского Никиты Евгеньевича</w:t>
      </w:r>
      <w:r>
        <w:rPr>
          <w:rFonts w:ascii="Arial" w:cs="Arial" w:eastAsia="Arial" w:hAnsi="Arial"/>
          <w:sz w:val="22"/>
          <w:szCs w:val="22"/>
        </w:rPr>
        <w:t xml:space="preserve">, действующего на основании </w:t>
      </w:r>
      <w:r>
        <w:rPr>
          <w:rFonts w:ascii="Arial" w:cs="Arial" w:eastAsia="Arial" w:hAnsi="Arial"/>
          <w:b/>
          <w:bCs/>
          <w:color w:val="74D414"/>
          <w:sz w:val="22"/>
          <w:szCs w:val="22"/>
        </w:rPr>
        <w:t xml:space="preserve">доверенности от 12.01.2026 № 6.18.1-01/120126-3</w:t>
      </w:r>
      <w:r>
        <w:rPr>
          <w:rFonts w:ascii="Arial" w:cs="Arial" w:eastAsia="Arial" w:hAnsi="Arial"/>
          <w:sz w:val="22"/>
          <w:szCs w:val="22"/>
        </w:rPr>
        <w:t xml:space="preserve">, с одной стороны, и </w:t>
      </w:r>
      <w:r>
        <w:rPr>
          <w:rFonts w:ascii="Arial" w:cs="Arial" w:eastAsia="Arial" w:hAnsi="Arial"/>
          <w:b/>
          <w:bCs/>
          <w:color w:val="74D414"/>
          <w:sz w:val="22"/>
          <w:szCs w:val="22"/>
        </w:rPr>
        <w:t xml:space="preserve">Общество с ограниченной ответственностью «ЦДО Глобал»</w:t>
      </w:r>
      <w:r>
        <w:rPr>
          <w:rFonts w:ascii="Arial" w:cs="Arial" w:eastAsia="Arial" w:hAnsi="Arial"/>
          <w:sz w:val="22"/>
          <w:szCs w:val="22"/>
        </w:rPr>
        <w:t xml:space="preserve">, именуемое в дальнейшем «Организация», в лице </w:t>
      </w:r>
      <w:r>
        <w:rPr>
          <w:rFonts w:ascii="Arial" w:cs="Arial" w:eastAsia="Arial" w:hAnsi="Arial"/>
          <w:b/>
          <w:bCs/>
          <w:color w:val="74D414"/>
          <w:sz w:val="22"/>
          <w:szCs w:val="22"/>
        </w:rPr>
        <w:t xml:space="preserve">генерального директора Шармы Раджеша</w:t>
      </w:r>
      <w:r>
        <w:rPr>
          <w:rFonts w:ascii="Arial" w:cs="Arial" w:eastAsia="Arial" w:hAnsi="Arial"/>
          <w:sz w:val="22"/>
          <w:szCs w:val="22"/>
        </w:rPr>
        <w:t xml:space="preserve">, действующего на основании </w:t>
      </w:r>
      <w:r>
        <w:rPr>
          <w:rFonts w:ascii="Arial" w:cs="Arial" w:eastAsia="Arial" w:hAnsi="Arial"/>
          <w:b/>
          <w:bCs/>
          <w:color w:val="74D414"/>
          <w:sz w:val="22"/>
          <w:szCs w:val="22"/>
        </w:rPr>
        <w:t xml:space="preserve">Устава</w:t>
      </w:r>
      <w:r>
        <w:rPr>
          <w:rFonts w:ascii="Arial" w:cs="Arial" w:eastAsia="Arial" w:hAnsi="Arial"/>
          <w:sz w:val="22"/>
          <w:szCs w:val="22"/>
        </w:rPr>
        <w:t xml:space="preserve">, с другой стороны, совместно именуемые «Стороны», в целях взаимного обмена опытом в теоретической и практической деятельности, развития деловых связей и укрепления деловой репутации, на основании пункта 25³ Положения о государственной аккредитации российских организаций, осуществляющих деятельность в области информационных технологий, утверждённого постановлением Правительства Российской Федерации от 30 сентября 2022 г. № 1729 (далее — Положение об аккредитации), заключили настоящее Соглашение об оказании Организацией содействия в реализации образовательных программ по профессиям и специальностям среднего профессионального образования, специальностям и направлениям подготовки высшего образования, необходимым для осуществления деятельности в области информационных технологий, № </w:t>
      </w:r>
      <w:r>
        <w:rPr>
          <w:rFonts w:ascii="Arial" w:cs="Arial" w:eastAsia="Arial" w:hAnsi="Arial"/>
          <w:b/>
          <w:bCs/>
          <w:color w:val="74D414"/>
          <w:sz w:val="22"/>
          <w:szCs w:val="22"/>
        </w:rPr>
        <w:t xml:space="preserve">СОГЛ-2026/047-ВО</w:t>
      </w:r>
      <w:r>
        <w:rPr>
          <w:rFonts w:ascii="Arial" w:cs="Arial" w:eastAsia="Arial" w:hAnsi="Arial"/>
          <w:sz w:val="22"/>
          <w:szCs w:val="22"/>
        </w:rPr>
        <w:t xml:space="preserve"> (далее соответственно — Соглашение, ИТ-специальности) о нижеследующем.</w:t>
      </w:r>
    </w:p>
    <w:p>
      <w:pPr>
        <w:pStyle w:val="Heading2"/>
        <w:spacing w:after="120" w:before="240"/>
      </w:pPr>
      <w:r>
        <w:rPr>
          <w:rFonts w:ascii="Arial" w:cs="Arial" w:eastAsia="Arial" w:hAnsi="Arial"/>
          <w:b/>
          <w:bCs/>
          <w:color w:val="111111"/>
          <w:sz w:val="24"/>
          <w:szCs w:val="24"/>
        </w:rPr>
        <w:t xml:space="preserve">I. Предмет Соглашения</w:t>
      </w:r>
    </w:p>
    <w:p>
      <w:pPr>
        <w:spacing w:after="120" w:line="300"/>
        <w:jc w:val="both"/>
      </w:pPr>
      <w:r>
        <w:rPr>
          <w:rFonts w:ascii="Arial" w:cs="Arial" w:eastAsia="Arial" w:hAnsi="Arial"/>
          <w:sz w:val="22"/>
          <w:szCs w:val="22"/>
        </w:rPr>
        <w:t xml:space="preserve">1. Предметом Соглашения является осуществление Организацией мероприятий в рамках образовательного процесса, направленных на повышение уровня знаний, умений, навыков и компетенции обучающихся в области информационных технологий, а также на удовлетворение потребностей организаций в подготовке кадров в соответствии с видами мероприятий, установленными приказом Минцифры России от 31 марта 2026 г. № 270 (далее — мероприятия по содействию обучению студентов).</w:t>
      </w:r>
    </w:p>
    <w:p>
      <w:pPr>
        <w:spacing w:after="120" w:line="300"/>
        <w:jc w:val="both"/>
      </w:pPr>
      <w:r>
        <w:rPr>
          <w:rFonts w:ascii="Arial" w:cs="Arial" w:eastAsia="Arial" w:hAnsi="Arial"/>
          <w:sz w:val="22"/>
          <w:szCs w:val="22"/>
        </w:rPr>
        <w:t xml:space="preserve">2. Стороны признают, что учебный, учебно-методический, научный, научно-педагогический и материально-технический потенциал Образовательной организации и кадровый, материально-технический потенциал Организации позволяют им путём объединения усилий установить долгосрочное и взаимовыгодное сотрудничество, направленное на повышение мотивации обучающихся, совершенствование содержания образования и повышение его практико-ориентированности, привлечение талантливой молодёжи на обучение по ИТ-специальностям и их качественную подготовку.</w:t>
      </w:r>
    </w:p>
    <w:p>
      <w:pPr>
        <w:pStyle w:val="Heading2"/>
        <w:spacing w:after="120" w:before="240"/>
      </w:pPr>
      <w:r>
        <w:rPr>
          <w:rFonts w:ascii="Arial" w:cs="Arial" w:eastAsia="Arial" w:hAnsi="Arial"/>
          <w:b/>
          <w:bCs/>
          <w:color w:val="111111"/>
          <w:sz w:val="24"/>
          <w:szCs w:val="24"/>
        </w:rPr>
        <w:t xml:space="preserve">II. Порядок взаимодействия и обязательства Сторон</w:t>
      </w:r>
    </w:p>
    <w:p>
      <w:pPr>
        <w:spacing w:after="120" w:line="300"/>
        <w:jc w:val="both"/>
      </w:pPr>
      <w:r>
        <w:rPr>
          <w:rFonts w:ascii="Arial" w:cs="Arial" w:eastAsia="Arial" w:hAnsi="Arial"/>
          <w:sz w:val="22"/>
          <w:szCs w:val="22"/>
        </w:rPr>
        <w:t xml:space="preserve">3. В целях исполнения настоящего Соглашения Организация:</w:t>
      </w:r>
    </w:p>
    <w:p>
      <w:pPr>
        <w:spacing w:after="120" w:line="300"/>
        <w:jc w:val="both"/>
      </w:pPr>
      <w:r>
        <w:rPr>
          <w:rFonts w:ascii="Arial" w:cs="Arial" w:eastAsia="Arial" w:hAnsi="Arial"/>
          <w:b/>
          <w:bCs/>
          <w:sz w:val="22"/>
          <w:szCs w:val="22"/>
        </w:rPr>
        <w:t xml:space="preserve">4. Обеспечивает реализацию в Образовательной организации мероприятий по следующим видам мероприятий по содействию обучению студентов по основным профессиональным образовательным программам по ИТ-специальностям:</w:t>
      </w:r>
    </w:p>
    <w:p>
      <w:pPr>
        <w:spacing w:after="120" w:line="300"/>
        <w:ind w:left="360"/>
        <w:jc w:val="both"/>
      </w:pPr>
      <w:r>
        <w:rPr>
          <w:rFonts w:ascii="Arial" w:cs="Arial" w:eastAsia="Arial" w:hAnsi="Arial"/>
          <w:sz w:val="22"/>
          <w:szCs w:val="22"/>
        </w:rPr>
        <w:t xml:space="preserve">а) направление сотрудников Организации для преподавания в Образовательной организации отдельных учебных предметов, курсов, дисциплин (модулей), практики, иных компонентов, в том числе факультативных и элективных, предусмотренных образовательной программой, связанных с информационными технологиями (далее — ИТ-дисциплины);</w:t>
      </w:r>
    </w:p>
    <w:p>
      <w:pPr>
        <w:spacing w:after="120" w:line="300"/>
        <w:ind w:left="360"/>
        <w:jc w:val="both"/>
      </w:pPr>
      <w:r>
        <w:rPr>
          <w:rFonts w:ascii="Arial" w:cs="Arial" w:eastAsia="Arial" w:hAnsi="Arial"/>
          <w:sz w:val="22"/>
          <w:szCs w:val="22"/>
        </w:rPr>
        <w:t xml:space="preserve">б) разработка и актуализация Организацией проектов основных образовательных программ высшего образования, образовательных программ среднего профессионального образования по ИТ-специальностям (далее — образовательная программа), экспертиза образовательных программ;</w:t>
      </w:r>
    </w:p>
    <w:p>
      <w:pPr>
        <w:spacing w:after="120" w:line="300"/>
        <w:ind w:left="360"/>
        <w:jc w:val="both"/>
      </w:pPr>
      <w:r>
        <w:rPr>
          <w:rFonts w:ascii="Arial" w:cs="Arial" w:eastAsia="Arial" w:hAnsi="Arial"/>
          <w:sz w:val="22"/>
          <w:szCs w:val="22"/>
        </w:rPr>
        <w:t xml:space="preserve">в) разработка, актуализация проектов рабочих программ ИТ-дисциплин и экспертиза рабочих программ ИТ-дисциплин;</w:t>
      </w:r>
    </w:p>
    <w:p>
      <w:pPr>
        <w:spacing w:after="120" w:line="300"/>
        <w:ind w:left="360"/>
        <w:jc w:val="both"/>
      </w:pPr>
      <w:r>
        <w:rPr>
          <w:rFonts w:ascii="Arial" w:cs="Arial" w:eastAsia="Arial" w:hAnsi="Arial"/>
          <w:sz w:val="22"/>
          <w:szCs w:val="22"/>
        </w:rPr>
        <w:t xml:space="preserve">г) организация практической подготовки студентов образовательной организации, осваивающих основные профессиональные образовательные программы по ИТ-специальностям, с трудоустройством на период проведения практической подготовки;</w:t>
      </w:r>
    </w:p>
    <w:p>
      <w:pPr>
        <w:spacing w:after="120" w:line="300"/>
        <w:ind w:left="360"/>
        <w:jc w:val="both"/>
      </w:pPr>
      <w:r>
        <w:rPr>
          <w:rFonts w:ascii="Arial" w:cs="Arial" w:eastAsia="Arial" w:hAnsi="Arial"/>
          <w:sz w:val="22"/>
          <w:szCs w:val="22"/>
        </w:rPr>
        <w:t xml:space="preserve">д) софинансирование реализации мероприятия «Обеспечено обучение студентов по образовательным программам высшего образования для топ-специалистов в сфере информационных технологий на базе АНО «Аналитический центр при Правительстве Российской Федерации» в рамках федерального проекта «Кадры для цифровой трансформации» и мероприятия «Обеспечено обучение студентов по образовательным программам высшего образования для топ-специалистов в сфере искусственного интеллекта на базе АНО «Аналитический центр при Правительстве Российской Федерации» в рамках федерального проекта «Искусственный интеллект» национального проекта «Экономика данных и цифровая трансформация государства»;</w:t>
      </w:r>
    </w:p>
    <w:p>
      <w:pPr>
        <w:spacing w:after="120" w:line="300"/>
        <w:ind w:left="360"/>
        <w:jc w:val="both"/>
      </w:pPr>
      <w:r>
        <w:rPr>
          <w:rFonts w:ascii="Arial" w:cs="Arial" w:eastAsia="Arial" w:hAnsi="Arial"/>
          <w:sz w:val="22"/>
          <w:szCs w:val="22"/>
        </w:rPr>
        <w:t xml:space="preserve">е) обеспечивает финансирование мероприятий по содействию обучению студентов;</w:t>
      </w:r>
    </w:p>
    <w:p>
      <w:pPr>
        <w:spacing w:after="120" w:line="300"/>
        <w:ind w:left="360"/>
        <w:jc w:val="both"/>
      </w:pPr>
      <w:r>
        <w:rPr>
          <w:rFonts w:ascii="Arial" w:cs="Arial" w:eastAsia="Arial" w:hAnsi="Arial"/>
          <w:sz w:val="22"/>
          <w:szCs w:val="22"/>
        </w:rPr>
        <w:t xml:space="preserve">ж) обеспечивает в порядке и в сроки, установленные Порядком, утверждённым приказом Минцифры России от 31.03.2026 № 270, подготовку предварительного и итогового отчётов о реализации соглашений об оказании содействия, в том числе настоящего Соглашения, включающих перечень реализованных мероприятий с указанием объёма и суммы затраченных средств, рассчитанной в соответствии с методикой оценки результатов реализации соглашений;</w:t>
      </w:r>
    </w:p>
    <w:p>
      <w:pPr>
        <w:spacing w:after="120" w:line="300"/>
        <w:ind w:left="360"/>
        <w:jc w:val="both"/>
      </w:pPr>
      <w:r>
        <w:rPr>
          <w:rFonts w:ascii="Arial" w:cs="Arial" w:eastAsia="Arial" w:hAnsi="Arial"/>
          <w:sz w:val="22"/>
          <w:szCs w:val="22"/>
        </w:rPr>
        <w:t xml:space="preserve">з) направляет Образовательной организации информацию об обучающихся Образовательной организации, принимающих участие в реализуемых Организацией мероприятиях по содействию обучению студентов;</w:t>
      </w:r>
    </w:p>
    <w:p>
      <w:pPr>
        <w:spacing w:after="120" w:line="300"/>
        <w:ind w:left="360"/>
        <w:jc w:val="both"/>
      </w:pPr>
      <w:r>
        <w:rPr>
          <w:rFonts w:ascii="Arial" w:cs="Arial" w:eastAsia="Arial" w:hAnsi="Arial"/>
          <w:sz w:val="22"/>
          <w:szCs w:val="22"/>
        </w:rPr>
        <w:t xml:space="preserve">и) вправе запрашивать у Образовательной организации сведения о результатах освоения основной образовательной программы, в том числе результатах прохождения промежуточной и итоговой (государственной итоговой) аттестации по ИТ-дисциплинам, студентами ИТ-специальностей, принимающими участие в реализуемых Организацией мероприятиях по содействию обучению студентов. Передача соответствующей информации осуществляется с учётом законодательства о защите персональных данных;</w:t>
      </w:r>
    </w:p>
    <w:p>
      <w:pPr>
        <w:spacing w:after="120" w:line="300"/>
        <w:ind w:left="360"/>
        <w:jc w:val="both"/>
      </w:pPr>
      <w:r>
        <w:rPr>
          <w:rFonts w:ascii="Arial" w:cs="Arial" w:eastAsia="Arial" w:hAnsi="Arial"/>
          <w:sz w:val="22"/>
          <w:szCs w:val="22"/>
        </w:rPr>
        <w:t xml:space="preserve">к) определяет иные права и обязанности, определяемые по соглашению Сторон.</w:t>
      </w:r>
    </w:p>
    <w:p>
      <w:pPr>
        <w:spacing w:after="120" w:line="300"/>
        <w:jc w:val="both"/>
      </w:pPr>
      <w:r>
        <w:rPr>
          <w:rFonts w:ascii="Arial" w:cs="Arial" w:eastAsia="Arial" w:hAnsi="Arial"/>
          <w:sz w:val="22"/>
          <w:szCs w:val="22"/>
        </w:rPr>
        <w:t xml:space="preserve">5. Финансирование мероприятий по содействию обучению студентов осуществляется в пределах необходимого объёма финансового обеспечения, информация о котором доведена Минцифры России до Организации в соответствии с пунктом 12 Порядка, утверждённого приказом Минцифры России от 31.03.2026 № 270. Объём финансового обеспечения мероприятий в рамках реализации всех соглашений, заключённых Организацией в соответствии с пунктом 25³ Положения об аккредитации, на текущий год должен быть эквивалентен </w:t>
      </w:r>
      <w:r>
        <w:rPr>
          <w:rFonts w:ascii="Arial" w:cs="Arial" w:eastAsia="Arial" w:hAnsi="Arial"/>
          <w:b/>
          <w:bCs/>
          <w:sz w:val="22"/>
          <w:szCs w:val="22"/>
        </w:rPr>
        <w:t xml:space="preserve">не менее чем 3 процентам</w:t>
      </w:r>
      <w:r>
        <w:rPr>
          <w:rFonts w:ascii="Arial" w:cs="Arial" w:eastAsia="Arial" w:hAnsi="Arial"/>
          <w:sz w:val="22"/>
          <w:szCs w:val="22"/>
        </w:rPr>
        <w:t xml:space="preserve"> от объёма средств, сэкономленных налогоплательщиком от применения пониженных тарифов страховых взносов, установленных подп. 3 п. 1 ст. 427 НК РФ, и пониженной налоговой ставки по налогу на прибыль организаций, установленной п. 1.15 ст. 284 НК РФ, за год, который предшествует году, предшествующему календарному году, на который заключены соответствующие соглашения. Объём финансирования мероприятий, осуществляемых Организацией в рамках настоящего Соглашения, определяется по согласованию сторон.</w:t>
      </w:r>
    </w:p>
    <w:p>
      <w:pPr>
        <w:spacing w:after="120" w:line="300"/>
        <w:jc w:val="both"/>
      </w:pPr>
      <w:r>
        <w:rPr>
          <w:rFonts w:ascii="Arial" w:cs="Arial" w:eastAsia="Arial" w:hAnsi="Arial"/>
          <w:sz w:val="22"/>
          <w:szCs w:val="22"/>
        </w:rPr>
        <w:t xml:space="preserve">6. В целях исполнения Соглашения Образовательная организация:</w:t>
      </w:r>
    </w:p>
    <w:p>
      <w:pPr>
        <w:spacing w:after="120" w:line="300"/>
        <w:ind w:left="360"/>
        <w:jc w:val="both"/>
      </w:pPr>
      <w:r>
        <w:rPr>
          <w:rFonts w:ascii="Arial" w:cs="Arial" w:eastAsia="Arial" w:hAnsi="Arial"/>
          <w:sz w:val="22"/>
          <w:szCs w:val="22"/>
        </w:rPr>
        <w:t xml:space="preserve">а) обеспечивает условия для реализации Организацией мероприятий по содействию обучению студентов, в том числе включение в основные профессиональные образовательные программы рабочих программ дисциплин, курсов, модулей, практик, разработанных и (или) актуализированных Организацией (при наличии), и допуск сотрудников Организации к преподаванию отдельных учебных предметов, курсов, дисциплин (модулей), практики, иных компонентов в соответствии с законодательством Российской Федерации об образовании и локальными актами Образовательной организации;</w:t>
      </w:r>
    </w:p>
    <w:p>
      <w:pPr>
        <w:spacing w:after="120" w:line="300"/>
        <w:ind w:left="360"/>
        <w:jc w:val="both"/>
      </w:pPr>
      <w:r>
        <w:rPr>
          <w:rFonts w:ascii="Arial" w:cs="Arial" w:eastAsia="Arial" w:hAnsi="Arial"/>
          <w:sz w:val="22"/>
          <w:szCs w:val="22"/>
        </w:rPr>
        <w:t xml:space="preserve">б) обеспечивает учёт студентов, обучающихся по ИТ-специальностям и охваченных мероприятиями по содействию обучению студентов, проводимыми Образовательной организацией и Организацией в рамках реализации Соглашения;</w:t>
      </w:r>
    </w:p>
    <w:p>
      <w:pPr>
        <w:spacing w:after="120" w:line="300"/>
        <w:ind w:left="360"/>
        <w:jc w:val="both"/>
      </w:pPr>
      <w:r>
        <w:rPr>
          <w:rFonts w:ascii="Arial" w:cs="Arial" w:eastAsia="Arial" w:hAnsi="Arial"/>
          <w:sz w:val="22"/>
          <w:szCs w:val="22"/>
        </w:rPr>
        <w:t xml:space="preserve">в) в случае, если подтверждающим совместно реализованное мероприятие документом является локальный документ Образовательной организации, представляет Организации подтверждающие документы (копии подтверждающих документов) по каждому из совместно реализованных мероприятий;</w:t>
      </w:r>
    </w:p>
    <w:p>
      <w:pPr>
        <w:spacing w:after="120" w:line="300"/>
        <w:ind w:left="360"/>
        <w:jc w:val="both"/>
      </w:pPr>
      <w:r>
        <w:rPr>
          <w:rFonts w:ascii="Arial" w:cs="Arial" w:eastAsia="Arial" w:hAnsi="Arial"/>
          <w:sz w:val="22"/>
          <w:szCs w:val="22"/>
        </w:rPr>
        <w:t xml:space="preserve">г) рассматривает подготовленные Организацией предварительный и итоговый отчёты, согласовывает их в части совместно реализованных мероприятий по содействию обучению студентов либо направляет замечания в порядке и сроки, установленные Порядком, утверждённым приказом Минцифры России от 31.03.2026 № 270;</w:t>
      </w:r>
    </w:p>
    <w:p>
      <w:pPr>
        <w:spacing w:after="120" w:line="300"/>
        <w:ind w:left="360"/>
        <w:jc w:val="both"/>
      </w:pPr>
      <w:r>
        <w:rPr>
          <w:rFonts w:ascii="Arial" w:cs="Arial" w:eastAsia="Arial" w:hAnsi="Arial"/>
          <w:sz w:val="22"/>
          <w:szCs w:val="22"/>
        </w:rPr>
        <w:t xml:space="preserve">д) определяет иные права и обязанности, определяемые по соглашению Сторон.</w:t>
      </w:r>
    </w:p>
    <w:p>
      <w:pPr>
        <w:spacing w:after="120" w:line="300"/>
        <w:jc w:val="both"/>
      </w:pPr>
      <w:r>
        <w:rPr>
          <w:rFonts w:ascii="Arial" w:cs="Arial" w:eastAsia="Arial" w:hAnsi="Arial"/>
          <w:sz w:val="22"/>
          <w:szCs w:val="22"/>
        </w:rPr>
        <w:t xml:space="preserve">7. Конкретный перечень мероприятий по содействию обучению студентов, реализуемых в рамках Соглашения, их объём, сроки и условия реализации определяются дополнительно, могут оформляться в рамках отдельных договоров и соглашений, в том числе действующих на дату заключения Соглашения, на согласованных Сторонами условиях и не являются неотъемлемой частью Соглашения:</w:t>
      </w:r>
    </w:p>
    <w:p>
      <w:pPr>
        <w:spacing w:after="120" w:line="300"/>
        <w:ind w:left="360"/>
        <w:jc w:val="both"/>
      </w:pPr>
      <w:r>
        <w:rPr>
          <w:rFonts w:ascii="Arial" w:cs="Arial" w:eastAsia="Arial" w:hAnsi="Arial"/>
          <w:sz w:val="22"/>
          <w:szCs w:val="22"/>
        </w:rPr>
        <w:t xml:space="preserve">а) Ответственным лицом за осуществление взаимодействия по Соглашению со стороны Образовательной организации назначается </w:t>
      </w:r>
      <w:r>
        <w:rPr>
          <w:rFonts w:ascii="Arial" w:cs="Arial" w:eastAsia="Arial" w:hAnsi="Arial"/>
          <w:b/>
          <w:bCs/>
          <w:color w:val="74D414"/>
          <w:sz w:val="22"/>
          <w:szCs w:val="22"/>
        </w:rPr>
        <w:t xml:space="preserve">Иванова Мария Сергеевна, руководитель департамента образовательных программ ФКН, +7 (903) 712-44-09, msivanova@hse.ru</w:t>
      </w:r>
      <w:r>
        <w:rPr>
          <w:rFonts w:ascii="Arial" w:cs="Arial" w:eastAsia="Arial" w:hAnsi="Arial"/>
          <w:sz w:val="22"/>
          <w:szCs w:val="22"/>
        </w:rPr>
        <w:t xml:space="preserve">.</w:t>
      </w:r>
    </w:p>
    <w:p>
      <w:pPr>
        <w:spacing w:after="120" w:line="300"/>
        <w:ind w:left="360"/>
        <w:jc w:val="both"/>
      </w:pPr>
      <w:r>
        <w:rPr>
          <w:rFonts w:ascii="Arial" w:cs="Arial" w:eastAsia="Arial" w:hAnsi="Arial"/>
          <w:sz w:val="22"/>
          <w:szCs w:val="22"/>
        </w:rPr>
        <w:t xml:space="preserve">б) Ответственным лицом за осуществление взаимодействия по Соглашению со стороны Организации назначается </w:t>
      </w:r>
      <w:r>
        <w:rPr>
          <w:rFonts w:ascii="Arial" w:cs="Arial" w:eastAsia="Arial" w:hAnsi="Arial"/>
          <w:b/>
          <w:bCs/>
          <w:color w:val="74D414"/>
          <w:sz w:val="22"/>
          <w:szCs w:val="22"/>
        </w:rPr>
        <w:t xml:space="preserve">Петров Алексей Викторович, директор по образовательным проектам, +7 (985) 224-71-03, a.petrov@cdo-global.ru</w:t>
      </w:r>
      <w:r>
        <w:rPr>
          <w:rFonts w:ascii="Arial" w:cs="Arial" w:eastAsia="Arial" w:hAnsi="Arial"/>
          <w:sz w:val="22"/>
          <w:szCs w:val="22"/>
        </w:rPr>
        <w:t xml:space="preserve">.</w:t>
      </w:r>
    </w:p>
    <w:p>
      <w:pPr>
        <w:pStyle w:val="Heading2"/>
        <w:spacing w:after="120" w:before="240"/>
      </w:pPr>
      <w:r>
        <w:rPr>
          <w:rFonts w:ascii="Arial" w:cs="Arial" w:eastAsia="Arial" w:hAnsi="Arial"/>
          <w:b/>
          <w:bCs/>
          <w:color w:val="111111"/>
          <w:sz w:val="24"/>
          <w:szCs w:val="24"/>
        </w:rPr>
        <w:t xml:space="preserve">III. Вступление в силу и сроки действия Соглашения</w:t>
      </w:r>
    </w:p>
    <w:p>
      <w:pPr>
        <w:spacing w:after="120" w:line="300"/>
        <w:jc w:val="both"/>
      </w:pPr>
      <w:r>
        <w:rPr>
          <w:rFonts w:ascii="Arial" w:cs="Arial" w:eastAsia="Arial" w:hAnsi="Arial"/>
          <w:sz w:val="22"/>
          <w:szCs w:val="22"/>
        </w:rPr>
        <w:t xml:space="preserve">8. Настоящее Соглашение вступает в силу с 1 января </w:t>
      </w:r>
      <w:r>
        <w:rPr>
          <w:rFonts w:ascii="Arial" w:cs="Arial" w:eastAsia="Arial" w:hAnsi="Arial"/>
          <w:b/>
          <w:bCs/>
          <w:color w:val="74D414"/>
          <w:sz w:val="22"/>
          <w:szCs w:val="22"/>
        </w:rPr>
        <w:t xml:space="preserve">2026</w:t>
      </w:r>
      <w:r>
        <w:rPr>
          <w:rFonts w:ascii="Arial" w:cs="Arial" w:eastAsia="Arial" w:hAnsi="Arial"/>
          <w:sz w:val="22"/>
          <w:szCs w:val="22"/>
        </w:rPr>
        <w:t xml:space="preserve"> г. (либо со дня его подписания обеими Сторонами в случае, если Соглашение заключается на текущий год, но не более чем на один календарный год) и действует до 31 декабря </w:t>
      </w:r>
      <w:r>
        <w:rPr>
          <w:rFonts w:ascii="Arial" w:cs="Arial" w:eastAsia="Arial" w:hAnsi="Arial"/>
          <w:b/>
          <w:bCs/>
          <w:color w:val="74D414"/>
          <w:sz w:val="22"/>
          <w:szCs w:val="22"/>
        </w:rPr>
        <w:t xml:space="preserve">2026</w:t>
      </w:r>
      <w:r>
        <w:rPr>
          <w:rFonts w:ascii="Arial" w:cs="Arial" w:eastAsia="Arial" w:hAnsi="Arial"/>
          <w:sz w:val="22"/>
          <w:szCs w:val="22"/>
        </w:rPr>
        <w:t xml:space="preserve"> г. с возможностью продления посредством заключения дополнительного соглашения.</w:t>
      </w:r>
    </w:p>
    <w:p>
      <w:pPr>
        <w:spacing w:after="120" w:line="300"/>
        <w:jc w:val="both"/>
      </w:pPr>
      <w:r>
        <w:rPr>
          <w:rFonts w:ascii="Arial" w:cs="Arial" w:eastAsia="Arial" w:hAnsi="Arial"/>
          <w:sz w:val="22"/>
          <w:szCs w:val="22"/>
        </w:rPr>
        <w:t xml:space="preserve">Все приложения к Соглашению являются неотъемлемой частью Соглашения.</w:t>
      </w:r>
    </w:p>
    <w:p>
      <w:pPr>
        <w:spacing w:after="120" w:line="300"/>
        <w:jc w:val="both"/>
      </w:pPr>
      <w:r>
        <w:rPr>
          <w:rFonts w:ascii="Arial" w:cs="Arial" w:eastAsia="Arial" w:hAnsi="Arial"/>
          <w:sz w:val="22"/>
          <w:szCs w:val="22"/>
        </w:rPr>
        <w:t xml:space="preserve">Стороны могут по взаимному согласию вносить изменения в настоящее Соглашение. Все изменения оформляются в виде дополнительных соглашений, которые заключаются в порядке, соответствующем порядку заключения Соглашения, и подписываются уполномоченным на то представителем каждой Стороны.</w:t>
      </w:r>
    </w:p>
    <w:p>
      <w:pPr>
        <w:spacing w:after="120" w:line="300"/>
        <w:jc w:val="both"/>
      </w:pPr>
      <w:r>
        <w:rPr>
          <w:rFonts w:ascii="Arial" w:cs="Arial" w:eastAsia="Arial" w:hAnsi="Arial"/>
          <w:sz w:val="22"/>
          <w:szCs w:val="22"/>
        </w:rPr>
        <w:t xml:space="preserve">Соглашение прекращается вследствие:</w:t>
      </w:r>
    </w:p>
    <w:p>
      <w:pPr>
        <w:spacing w:after="120" w:line="300"/>
        <w:ind w:left="360"/>
        <w:jc w:val="both"/>
      </w:pPr>
      <w:r>
        <w:rPr>
          <w:rFonts w:ascii="Arial" w:cs="Arial" w:eastAsia="Arial" w:hAnsi="Arial"/>
          <w:sz w:val="22"/>
          <w:szCs w:val="22"/>
        </w:rPr>
        <w:t xml:space="preserve">а) ликвидации участвующего в настоящем Соглашении юридического лица;</w:t>
      </w:r>
    </w:p>
    <w:p>
      <w:pPr>
        <w:spacing w:after="120" w:line="300"/>
        <w:ind w:left="360"/>
        <w:jc w:val="both"/>
      </w:pPr>
      <w:r>
        <w:rPr>
          <w:rFonts w:ascii="Arial" w:cs="Arial" w:eastAsia="Arial" w:hAnsi="Arial"/>
          <w:sz w:val="22"/>
          <w:szCs w:val="22"/>
        </w:rPr>
        <w:t xml:space="preserve">б) расторжения настоящего Соглашения в одностороннем порядке или по соглашению Сторон;</w:t>
      </w:r>
    </w:p>
    <w:p>
      <w:pPr>
        <w:spacing w:after="120" w:line="300"/>
        <w:ind w:left="360"/>
        <w:jc w:val="both"/>
      </w:pPr>
      <w:r>
        <w:rPr>
          <w:rFonts w:ascii="Arial" w:cs="Arial" w:eastAsia="Arial" w:hAnsi="Arial"/>
          <w:sz w:val="22"/>
          <w:szCs w:val="22"/>
        </w:rPr>
        <w:t xml:space="preserve">в) истечения срока действия Соглашения;</w:t>
      </w:r>
    </w:p>
    <w:p>
      <w:pPr>
        <w:spacing w:after="120" w:line="300"/>
        <w:ind w:left="360"/>
        <w:jc w:val="both"/>
      </w:pPr>
      <w:r>
        <w:rPr>
          <w:rFonts w:ascii="Arial" w:cs="Arial" w:eastAsia="Arial" w:hAnsi="Arial"/>
          <w:sz w:val="22"/>
          <w:szCs w:val="22"/>
        </w:rPr>
        <w:t xml:space="preserve">г) иных обстоятельств, предусмотренных законодательством Российской Федерации.</w:t>
      </w:r>
    </w:p>
    <w:p>
      <w:pPr>
        <w:spacing w:after="120" w:line="300"/>
        <w:jc w:val="both"/>
      </w:pPr>
      <w:r>
        <w:rPr>
          <w:rFonts w:ascii="Arial" w:cs="Arial" w:eastAsia="Arial" w:hAnsi="Arial"/>
          <w:sz w:val="22"/>
          <w:szCs w:val="22"/>
        </w:rPr>
        <w:t xml:space="preserve">9. Стороны вправе по необходимости проводить встречи, консультации и обсуждение вопросов, связанных с реализацией направлений и форм сотрудничества, а также рассматривать проблемы, возникающие в процессе взаимодействия.</w:t>
      </w:r>
    </w:p>
    <w:p>
      <w:pPr>
        <w:spacing w:after="120" w:line="300"/>
        <w:jc w:val="both"/>
      </w:pPr>
      <w:r>
        <w:rPr>
          <w:rFonts w:ascii="Arial" w:cs="Arial" w:eastAsia="Arial" w:hAnsi="Arial"/>
          <w:sz w:val="22"/>
          <w:szCs w:val="22"/>
        </w:rPr>
        <w:t xml:space="preserve">10. Соглашение составлено в 2 (двух) экземплярах на русском языке, которые имеют равную юридическую силу, по одному для каждой Стороны.</w:t>
      </w:r>
    </w:p>
    <w:p>
      <w:pPr>
        <w:pStyle w:val="Heading2"/>
        <w:keepNext/>
        <w:pageBreakBefore/>
        <w:spacing w:after="120" w:before="240"/>
      </w:pPr>
      <w:r>
        <w:rPr>
          <w:rFonts w:ascii="Arial" w:cs="Arial" w:eastAsia="Arial" w:hAnsi="Arial"/>
          <w:b/>
          <w:bCs/>
          <w:color w:val="111111"/>
          <w:sz w:val="24"/>
          <w:szCs w:val="24"/>
        </w:rPr>
        <w:t xml:space="preserve">Подписи сторон</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rPr>
          <w:cantSplit/>
          <w:tblHeader/>
        </w:trPr>
        <w:tc>
          <w:tcPr>
            <w:tcW w:type="dxa" w:w="4513"/>
            <w:tcBorders>
              <w:top w:val="single" w:color="B0B0B0" w:sz="4"/>
              <w:left w:val="single" w:color="B0B0B0" w:sz="4"/>
              <w:bottom w:val="single" w:color="B0B0B0" w:sz="4"/>
              <w:right w:val="single" w:color="B0B0B0" w:sz="4"/>
            </w:tcBorders>
            <w:shd w:fill="F2F2F2" w:val="clear"/>
            <w:tcMar>
              <w:top w:type="dxa" w:w="120"/>
              <w:left w:type="dxa" w:w="140"/>
              <w:bottom w:type="dxa" w:w="120"/>
              <w:right w:type="dxa" w:w="140"/>
            </w:tcMar>
          </w:tcPr>
          <w:p>
            <w:pPr>
              <w:jc w:val="center"/>
            </w:pPr>
            <w:r>
              <w:rPr>
                <w:rFonts w:ascii="Arial" w:cs="Arial" w:eastAsia="Arial" w:hAnsi="Arial"/>
                <w:b/>
                <w:bCs/>
                <w:sz w:val="22"/>
                <w:szCs w:val="22"/>
              </w:rPr>
              <w:t xml:space="preserve">Образовательная организация</w:t>
            </w:r>
          </w:p>
        </w:tc>
        <w:tc>
          <w:tcPr>
            <w:tcW w:type="dxa" w:w="4513"/>
            <w:tcBorders>
              <w:top w:val="single" w:color="B0B0B0" w:sz="4"/>
              <w:left w:val="single" w:color="B0B0B0" w:sz="4"/>
              <w:bottom w:val="single" w:color="B0B0B0" w:sz="4"/>
              <w:right w:val="single" w:color="B0B0B0" w:sz="4"/>
            </w:tcBorders>
            <w:shd w:fill="F2F2F2" w:val="clear"/>
            <w:tcMar>
              <w:top w:type="dxa" w:w="120"/>
              <w:left w:type="dxa" w:w="140"/>
              <w:bottom w:type="dxa" w:w="120"/>
              <w:right w:type="dxa" w:w="140"/>
            </w:tcMar>
          </w:tcPr>
          <w:p>
            <w:pPr>
              <w:jc w:val="center"/>
            </w:pPr>
            <w:r>
              <w:rPr>
                <w:rFonts w:ascii="Arial" w:cs="Arial" w:eastAsia="Arial" w:hAnsi="Arial"/>
                <w:b/>
                <w:bCs/>
                <w:sz w:val="22"/>
                <w:szCs w:val="22"/>
              </w:rPr>
              <w:t xml:space="preserve">Организация</w:t>
            </w:r>
          </w:p>
        </w:tc>
      </w:tr>
      <w:tr>
        <w:trPr>
          <w:cantSplit/>
        </w:trPr>
        <w:tc>
          <w:tcPr>
            <w:tcW w:type="dxa" w:w="4513"/>
            <w:tcBorders>
              <w:top w:val="single" w:color="B0B0B0" w:sz="4"/>
              <w:left w:val="single" w:color="B0B0B0" w:sz="4"/>
              <w:bottom w:val="single" w:color="B0B0B0" w:sz="4"/>
              <w:right w:val="single" w:color="B0B0B0" w:sz="4"/>
            </w:tcBorders>
            <w:tcMar>
              <w:top w:type="dxa" w:w="120"/>
              <w:left w:type="dxa" w:w="140"/>
              <w:bottom w:type="dxa" w:w="120"/>
              <w:right w:type="dxa" w:w="140"/>
            </w:tcMar>
          </w:tcPr>
          <w:p>
            <w:r>
              <w:rPr>
                <w:rFonts w:ascii="Arial" w:cs="Arial" w:eastAsia="Arial" w:hAnsi="Arial"/>
                <w:b/>
                <w:bCs/>
                <w:sz w:val="22"/>
                <w:szCs w:val="22"/>
              </w:rPr>
              <w:t xml:space="preserve">Наименование: </w:t>
            </w:r>
            <w:r>
              <w:rPr>
                <w:rFonts w:ascii="Arial" w:cs="Arial" w:eastAsia="Arial" w:hAnsi="Arial"/>
                <w:b/>
                <w:bCs/>
                <w:color w:val="74D414"/>
                <w:sz w:val="22"/>
                <w:szCs w:val="22"/>
              </w:rPr>
              <w:t xml:space="preserve">НИУ ВШЭ</w:t>
            </w:r>
          </w:p>
          <w:p>
            <w:r>
              <w:rPr>
                <w:rFonts w:ascii="Arial" w:cs="Arial" w:eastAsia="Arial" w:hAnsi="Arial"/>
                <w:b/>
                <w:bCs/>
                <w:sz w:val="22"/>
                <w:szCs w:val="22"/>
              </w:rPr>
              <w:t xml:space="preserve">Адрес: </w:t>
            </w:r>
            <w:r>
              <w:rPr>
                <w:rFonts w:ascii="Arial" w:cs="Arial" w:eastAsia="Arial" w:hAnsi="Arial"/>
                <w:b/>
                <w:bCs/>
                <w:color w:val="74D414"/>
                <w:sz w:val="22"/>
                <w:szCs w:val="22"/>
              </w:rPr>
              <w:t xml:space="preserve">101000, г. Москва, ул. Мясницкая, д. 20</w:t>
            </w:r>
          </w:p>
          <w:p>
            <w:r>
              <w:rPr>
                <w:rFonts w:ascii="Arial" w:cs="Arial" w:eastAsia="Arial" w:hAnsi="Arial"/>
                <w:b/>
                <w:bCs/>
                <w:sz w:val="22"/>
                <w:szCs w:val="22"/>
              </w:rPr>
              <w:t xml:space="preserve">ИНН: </w:t>
            </w:r>
            <w:r>
              <w:rPr>
                <w:rFonts w:ascii="Arial" w:cs="Arial" w:eastAsia="Arial" w:hAnsi="Arial"/>
                <w:b/>
                <w:bCs/>
                <w:color w:val="74D414"/>
                <w:sz w:val="22"/>
                <w:szCs w:val="22"/>
              </w:rPr>
              <w:t xml:space="preserve">7714030726</w:t>
            </w:r>
          </w:p>
          <w:p>
            <w:r>
              <w:rPr>
                <w:rFonts w:ascii="Arial" w:cs="Arial" w:eastAsia="Arial" w:hAnsi="Arial"/>
                <w:b/>
                <w:bCs/>
                <w:sz w:val="22"/>
                <w:szCs w:val="22"/>
              </w:rPr>
              <w:t xml:space="preserve">ОГРН: </w:t>
            </w:r>
            <w:r>
              <w:rPr>
                <w:rFonts w:ascii="Arial" w:cs="Arial" w:eastAsia="Arial" w:hAnsi="Arial"/>
                <w:b/>
                <w:bCs/>
                <w:color w:val="74D414"/>
                <w:sz w:val="22"/>
                <w:szCs w:val="22"/>
              </w:rPr>
              <w:t xml:space="preserve">1027739630401</w:t>
            </w:r>
          </w:p>
          <w:p>
            <w:r>
              <w:rPr>
                <w:rFonts w:ascii="Arial" w:cs="Arial" w:eastAsia="Arial" w:hAnsi="Arial"/>
                <w:b/>
                <w:bCs/>
                <w:sz w:val="22"/>
                <w:szCs w:val="22"/>
              </w:rPr>
              <w:t xml:space="preserve">Тел.: </w:t>
            </w:r>
            <w:r>
              <w:rPr>
                <w:rFonts w:ascii="Arial" w:cs="Arial" w:eastAsia="Arial" w:hAnsi="Arial"/>
                <w:b/>
                <w:bCs/>
                <w:color w:val="74D414"/>
                <w:sz w:val="22"/>
                <w:szCs w:val="22"/>
              </w:rPr>
              <w:t xml:space="preserve">+7 (495) 771-32-32</w:t>
            </w:r>
          </w:p>
          <w:p>
            <w:r>
              <w:rPr>
                <w:rFonts w:ascii="Arial" w:cs="Arial" w:eastAsia="Arial" w:hAnsi="Arial"/>
                <w:b/>
                <w:bCs/>
                <w:sz w:val="22"/>
                <w:szCs w:val="22"/>
              </w:rPr>
              <w:t xml:space="preserve">E-mail: </w:t>
            </w:r>
            <w:r>
              <w:rPr>
                <w:rFonts w:ascii="Arial" w:cs="Arial" w:eastAsia="Arial" w:hAnsi="Arial"/>
                <w:b/>
                <w:bCs/>
                <w:color w:val="74D414"/>
                <w:sz w:val="22"/>
                <w:szCs w:val="22"/>
              </w:rPr>
              <w:t xml:space="preserve">inbox@hse.ru</w:t>
            </w:r>
          </w:p>
          <w:p>
            <w:r>
              <w:rPr>
                <w:rFonts w:ascii="Arial" w:cs="Arial" w:eastAsia="Arial" w:hAnsi="Arial"/>
                <w:b/>
                <w:bCs/>
                <w:sz w:val="22"/>
                <w:szCs w:val="22"/>
              </w:rPr>
              <w:t xml:space="preserve">Сайт: </w:t>
            </w:r>
            <w:r>
              <w:rPr>
                <w:rFonts w:ascii="Arial" w:cs="Arial" w:eastAsia="Arial" w:hAnsi="Arial"/>
                <w:b/>
                <w:bCs/>
                <w:color w:val="74D414"/>
                <w:sz w:val="22"/>
                <w:szCs w:val="22"/>
              </w:rPr>
              <w:t xml:space="preserve">https://www.hse.ru</w:t>
            </w:r>
          </w:p>
          <w:p>
            <w:pPr>
              <w:spacing w:before="200"/>
            </w:pPr>
            <w:r>
              <w:rPr>
                <w:rFonts w:ascii="Arial" w:cs="Arial" w:eastAsia="Arial" w:hAnsi="Arial"/>
                <w:b/>
                <w:bCs/>
                <w:sz w:val="22"/>
                <w:szCs w:val="22"/>
              </w:rPr>
              <w:t xml:space="preserve">Руководитель _________ / </w:t>
            </w:r>
            <w:r>
              <w:rPr>
                <w:rFonts w:ascii="Arial" w:cs="Arial" w:eastAsia="Arial" w:hAnsi="Arial"/>
                <w:b/>
                <w:bCs/>
                <w:color w:val="74D414"/>
                <w:sz w:val="22"/>
                <w:szCs w:val="22"/>
              </w:rPr>
              <w:t xml:space="preserve">Покровский Н.Е.</w:t>
            </w:r>
          </w:p>
          <w:p>
            <w:pPr>
              <w:spacing w:before="200"/>
            </w:pPr>
            <w:r>
              <w:rPr>
                <w:rFonts w:ascii="Arial" w:cs="Arial" w:eastAsia="Arial" w:hAnsi="Arial"/>
                <w:b/>
                <w:bCs/>
                <w:sz w:val="22"/>
                <w:szCs w:val="22"/>
              </w:rPr>
              <w:t xml:space="preserve">Дата: </w:t>
            </w:r>
            <w:r>
              <w:rPr>
                <w:rFonts w:ascii="Arial" w:cs="Arial" w:eastAsia="Arial" w:hAnsi="Arial"/>
                <w:b/>
                <w:bCs/>
                <w:color w:val="74D414"/>
                <w:sz w:val="22"/>
                <w:szCs w:val="22"/>
              </w:rPr>
              <w:t xml:space="preserve">15 мая 2026 г.</w:t>
            </w:r>
            <w:r>
              <w:rPr>
                <w:rFonts w:ascii="Arial" w:cs="Arial" w:eastAsia="Arial" w:hAnsi="Arial"/>
                <w:sz w:val="22"/>
                <w:szCs w:val="22"/>
              </w:rPr>
              <w:t xml:space="preserve">      М.П.</w:t>
            </w:r>
          </w:p>
        </w:tc>
        <w:tc>
          <w:tcPr>
            <w:tcW w:type="dxa" w:w="4513"/>
            <w:tcBorders>
              <w:top w:val="single" w:color="B0B0B0" w:sz="4"/>
              <w:left w:val="single" w:color="B0B0B0" w:sz="4"/>
              <w:bottom w:val="single" w:color="B0B0B0" w:sz="4"/>
              <w:right w:val="single" w:color="B0B0B0" w:sz="4"/>
            </w:tcBorders>
            <w:tcMar>
              <w:top w:type="dxa" w:w="120"/>
              <w:left w:type="dxa" w:w="140"/>
              <w:bottom w:type="dxa" w:w="120"/>
              <w:right w:type="dxa" w:w="140"/>
            </w:tcMar>
          </w:tcPr>
          <w:p>
            <w:r>
              <w:rPr>
                <w:rFonts w:ascii="Arial" w:cs="Arial" w:eastAsia="Arial" w:hAnsi="Arial"/>
                <w:b/>
                <w:bCs/>
                <w:sz w:val="22"/>
                <w:szCs w:val="22"/>
              </w:rPr>
              <w:t xml:space="preserve">Наименование: </w:t>
            </w:r>
            <w:r>
              <w:rPr>
                <w:rFonts w:ascii="Arial" w:cs="Arial" w:eastAsia="Arial" w:hAnsi="Arial"/>
                <w:b/>
                <w:bCs/>
                <w:color w:val="74D414"/>
                <w:sz w:val="22"/>
                <w:szCs w:val="22"/>
              </w:rPr>
              <w:t xml:space="preserve">ООО «CDO Global»</w:t>
            </w:r>
          </w:p>
          <w:p>
            <w:r>
              <w:rPr>
                <w:rFonts w:ascii="Arial" w:cs="Arial" w:eastAsia="Arial" w:hAnsi="Arial"/>
                <w:b/>
                <w:bCs/>
                <w:sz w:val="22"/>
                <w:szCs w:val="22"/>
              </w:rPr>
              <w:t xml:space="preserve">Адрес: </w:t>
            </w:r>
            <w:r>
              <w:rPr>
                <w:rFonts w:ascii="Arial" w:cs="Arial" w:eastAsia="Arial" w:hAnsi="Arial"/>
                <w:b/>
                <w:bCs/>
                <w:color w:val="74D414"/>
                <w:sz w:val="22"/>
                <w:szCs w:val="22"/>
              </w:rPr>
              <w:t xml:space="preserve">123112, г. Москва, Пресненская наб., д. 10, стр. 2, помещ. 4.12</w:t>
            </w:r>
          </w:p>
          <w:p>
            <w:r>
              <w:rPr>
                <w:rFonts w:ascii="Arial" w:cs="Arial" w:eastAsia="Arial" w:hAnsi="Arial"/>
                <w:b/>
                <w:bCs/>
                <w:sz w:val="22"/>
                <w:szCs w:val="22"/>
              </w:rPr>
              <w:t xml:space="preserve">ИНН: </w:t>
            </w:r>
            <w:r>
              <w:rPr>
                <w:rFonts w:ascii="Arial" w:cs="Arial" w:eastAsia="Arial" w:hAnsi="Arial"/>
                <w:b/>
                <w:bCs/>
                <w:color w:val="74D414"/>
                <w:sz w:val="22"/>
                <w:szCs w:val="22"/>
              </w:rPr>
              <w:t xml:space="preserve">9703145687</w:t>
            </w:r>
          </w:p>
          <w:p>
            <w:r>
              <w:rPr>
                <w:rFonts w:ascii="Arial" w:cs="Arial" w:eastAsia="Arial" w:hAnsi="Arial"/>
                <w:b/>
                <w:bCs/>
                <w:sz w:val="22"/>
                <w:szCs w:val="22"/>
              </w:rPr>
              <w:t xml:space="preserve">ОГРН: </w:t>
            </w:r>
            <w:r>
              <w:rPr>
                <w:rFonts w:ascii="Arial" w:cs="Arial" w:eastAsia="Arial" w:hAnsi="Arial"/>
                <w:b/>
                <w:bCs/>
                <w:color w:val="74D414"/>
                <w:sz w:val="22"/>
                <w:szCs w:val="22"/>
              </w:rPr>
              <w:t xml:space="preserve">1227700456789</w:t>
            </w:r>
          </w:p>
          <w:p>
            <w:r>
              <w:rPr>
                <w:rFonts w:ascii="Arial" w:cs="Arial" w:eastAsia="Arial" w:hAnsi="Arial"/>
                <w:b/>
                <w:bCs/>
                <w:sz w:val="22"/>
                <w:szCs w:val="22"/>
              </w:rPr>
              <w:t xml:space="preserve">Тел.: </w:t>
            </w:r>
            <w:r>
              <w:rPr>
                <w:rFonts w:ascii="Arial" w:cs="Arial" w:eastAsia="Arial" w:hAnsi="Arial"/>
                <w:b/>
                <w:bCs/>
                <w:color w:val="74D414"/>
                <w:sz w:val="22"/>
                <w:szCs w:val="22"/>
              </w:rPr>
              <w:t xml:space="preserve">+7 (495) 488-72-15</w:t>
            </w:r>
          </w:p>
          <w:p>
            <w:r>
              <w:rPr>
                <w:rFonts w:ascii="Arial" w:cs="Arial" w:eastAsia="Arial" w:hAnsi="Arial"/>
                <w:b/>
                <w:bCs/>
                <w:sz w:val="22"/>
                <w:szCs w:val="22"/>
              </w:rPr>
              <w:t xml:space="preserve">E-mail: </w:t>
            </w:r>
            <w:r>
              <w:rPr>
                <w:rFonts w:ascii="Arial" w:cs="Arial" w:eastAsia="Arial" w:hAnsi="Arial"/>
                <w:b/>
                <w:bCs/>
                <w:color w:val="74D414"/>
                <w:sz w:val="22"/>
                <w:szCs w:val="22"/>
              </w:rPr>
              <w:t xml:space="preserve">info@cdo-global.ru</w:t>
            </w:r>
          </w:p>
          <w:p>
            <w:r>
              <w:rPr>
                <w:rFonts w:ascii="Arial" w:cs="Arial" w:eastAsia="Arial" w:hAnsi="Arial"/>
                <w:b/>
                <w:bCs/>
                <w:sz w:val="22"/>
                <w:szCs w:val="22"/>
              </w:rPr>
              <w:t xml:space="preserve">Сайт: </w:t>
            </w:r>
            <w:r>
              <w:rPr>
                <w:rFonts w:ascii="Arial" w:cs="Arial" w:eastAsia="Arial" w:hAnsi="Arial"/>
                <w:b/>
                <w:bCs/>
                <w:color w:val="74D414"/>
                <w:sz w:val="22"/>
                <w:szCs w:val="22"/>
              </w:rPr>
              <w:t xml:space="preserve">https://cdo-global.ru</w:t>
            </w:r>
          </w:p>
          <w:p>
            <w:pPr>
              <w:spacing w:before="200"/>
            </w:pPr>
            <w:r>
              <w:rPr>
                <w:rFonts w:ascii="Arial" w:cs="Arial" w:eastAsia="Arial" w:hAnsi="Arial"/>
                <w:b/>
                <w:bCs/>
                <w:sz w:val="22"/>
                <w:szCs w:val="22"/>
              </w:rPr>
              <w:t xml:space="preserve">Руководитель _________ / </w:t>
            </w:r>
            <w:r>
              <w:rPr>
                <w:rFonts w:ascii="Arial" w:cs="Arial" w:eastAsia="Arial" w:hAnsi="Arial"/>
                <w:b/>
                <w:bCs/>
                <w:color w:val="74D414"/>
                <w:sz w:val="22"/>
                <w:szCs w:val="22"/>
              </w:rPr>
              <w:t xml:space="preserve">Шарма Р.</w:t>
            </w:r>
          </w:p>
          <w:p>
            <w:pPr>
              <w:spacing w:before="200"/>
            </w:pPr>
            <w:r>
              <w:rPr>
                <w:rFonts w:ascii="Arial" w:cs="Arial" w:eastAsia="Arial" w:hAnsi="Arial"/>
                <w:b/>
                <w:bCs/>
                <w:sz w:val="22"/>
                <w:szCs w:val="22"/>
              </w:rPr>
              <w:t xml:space="preserve">Дата: </w:t>
            </w:r>
            <w:r>
              <w:rPr>
                <w:rFonts w:ascii="Arial" w:cs="Arial" w:eastAsia="Arial" w:hAnsi="Arial"/>
                <w:b/>
                <w:bCs/>
                <w:color w:val="74D414"/>
                <w:sz w:val="22"/>
                <w:szCs w:val="22"/>
              </w:rPr>
              <w:t xml:space="preserve">15 мая 2026 г.</w:t>
            </w:r>
            <w:r>
              <w:rPr>
                <w:rFonts w:ascii="Arial" w:cs="Arial" w:eastAsia="Arial" w:hAnsi="Arial"/>
                <w:sz w:val="22"/>
                <w:szCs w:val="22"/>
              </w:rPr>
              <w:t xml:space="preserve">      М.П.</w:t>
            </w:r>
          </w:p>
        </w:tc>
      </w:tr>
    </w:tbl>
    <w:p>
      <w:pPr>
        <w:spacing w:before="400"/>
      </w:pPr>
      <w:r>
        <w:rPr>
          <w:rFonts w:ascii="Arial" w:cs="Arial" w:eastAsia="Arial" w:hAnsi="Arial"/>
          <w:sz w:val="22"/>
          <w:szCs w:val="22"/>
        </w:rPr>
        <w:t xml:space="preserve"> </w:t>
      </w:r>
    </w:p>
    <w:p>
      <w:pPr>
        <w:spacing w:after="100" w:before="200"/>
        <w:jc w:val="center"/>
      </w:pPr>
      <w:r>
        <w:rPr>
          <w:rFonts w:ascii="Arial" w:cs="Arial" w:eastAsia="Arial" w:hAnsi="Arial"/>
          <w:i/>
          <w:iCs/>
          <w:color w:val="6B6B6B"/>
          <w:sz w:val="18"/>
          <w:szCs w:val="18"/>
        </w:rPr>
        <w:t xml:space="preserve">— — — Конец соглашения — — —</w:t>
      </w:r>
    </w:p>
    <w:p>
      <w:pPr>
        <w:spacing w:after="80"/>
        <w:jc w:val="center"/>
      </w:pPr>
      <w:r>
        <w:rPr>
          <w:rFonts w:ascii="Arial" w:cs="Arial" w:eastAsia="Arial" w:hAnsi="Arial"/>
          <w:color w:val="6B6B6B"/>
          <w:sz w:val="18"/>
          <w:szCs w:val="18"/>
        </w:rPr>
        <w:t xml:space="preserve">Шаблон подготовлен </w:t>
      </w:r>
      <w:hyperlink w:history="1" r:id="rIdkjasv7-dgwme-dwr4riyz">
        <w:r>
          <w:rPr>
            <w:rFonts w:ascii="Arial" w:cs="Arial" w:eastAsia="Arial" w:hAnsi="Arial"/>
            <w:b/>
            <w:bCs/>
            <w:color w:val="74D414"/>
            <w:sz w:val="18"/>
            <w:szCs w:val="18"/>
            <w:u w:val="single" w:color="74D414"/>
          </w:rPr>
          <w:t xml:space="preserve">Библиотекой CDO Global</w:t>
        </w:r>
      </w:hyperlink>
      <w:r>
        <w:rPr>
          <w:rFonts w:ascii="Arial" w:cs="Arial" w:eastAsia="Arial" w:hAnsi="Arial"/>
          <w:color w:val="6B6B6B"/>
          <w:sz w:val="18"/>
          <w:szCs w:val="18"/>
        </w:rPr>
        <w:t xml:space="preserve"> в соответствии с Приказом Минцифры России от 31.03.2026 № 270.</w:t>
      </w:r>
    </w:p>
    <w:sectPr>
      <w:footerReference w:type="default" r:id="rId7"/>
      <w:pgSz w:w="11906" w:h="16838" w:orient="portrait"/>
      <w:pgMar w:top="1134" w:right="1134" w:bottom="1134"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74D414" w:sz="6" w:space="6"/>
      </w:pBdr>
      <w:spacing w:before="120"/>
      <w:jc w:val="center"/>
    </w:pPr>
    <w:hyperlink w:history="1" r:id="rIdnyp4jiwfhgav6jb5tn4g4">
      <w:r>
        <w:rPr>
          <w:rFonts w:ascii="Arial" w:cs="Arial" w:eastAsia="Arial" w:hAnsi="Arial"/>
          <w:b/>
          <w:bCs/>
          <w:color w:val="74D414"/>
          <w:sz w:val="20"/>
          <w:szCs w:val="20"/>
          <w:u w:val="single" w:color="74D414"/>
        </w:rPr>
        <w:t xml:space="preserve">Библиотека CDO Global</w:t>
      </w:r>
    </w:hyperlink>
    <w:r>
      <w:rPr>
        <w:rFonts w:ascii="Arial" w:cs="Arial" w:eastAsia="Arial" w:hAnsi="Arial"/>
        <w:sz w:val="20"/>
        <w:szCs w:val="20"/>
      </w:rPr>
      <w:t xml:space="preserve">   </w:t>
    </w:r>
    <w:r>
      <w:rPr>
        <w:rFonts w:ascii="Arial" w:cs="Arial" w:eastAsia="Arial" w:hAnsi="Arial"/>
        <w:color w:val="6B6B6B"/>
        <w:sz w:val="18"/>
        <w:szCs w:val="18"/>
      </w:rPr>
      <w:t xml:space="preserve">cdo-global.ru/solutions/270</w:t>
    </w:r>
    <w:r>
      <w:rPr>
        <w:rFonts w:ascii="Arial" w:cs="Arial" w:eastAsia="Arial" w:hAnsi="Arial"/>
        <w:color w:val="6B6B6B"/>
        <w:sz w:val="18"/>
        <w:szCs w:val="18"/>
      </w:rPr>
      <w:t xml:space="preserve">   ·   стр. </w:t>
    </w:r>
    <w:r>
      <w:rPr>
        <w:rFonts w:ascii="Arial" w:cs="Arial" w:eastAsia="Arial" w:hAnsi="Arial"/>
        <w:color w:val="6B6B6B"/>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200"/>
      <w:outlineLvl w:val="0"/>
    </w:pPr>
    <w:rPr>
      <w:rFonts w:ascii="Arial" w:cs="Arial" w:eastAsia="Arial" w:hAnsi="Arial"/>
      <w:b/>
      <w:bCs/>
      <w:color w:val="111111"/>
      <w:sz w:val="28"/>
      <w:szCs w:val="28"/>
    </w:rPr>
  </w:style>
  <w:style w:type="paragraph" w:styleId="Heading2">
    <w:name w:val="Heading 2"/>
    <w:basedOn w:val="Normal"/>
    <w:next w:val="Normal"/>
    <w:qFormat/>
    <w:pPr>
      <w:spacing w:after="120" w:before="240"/>
      <w:outlineLvl w:val="1"/>
    </w:pPr>
    <w:rPr>
      <w:rFonts w:ascii="Arial" w:cs="Arial" w:eastAsia="Arial" w:hAnsi="Arial"/>
      <w:b/>
      <w:bCs/>
      <w:color w:val="111111"/>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kjasv7-dgwme-dwr4riyz" Type="http://schemas.openxmlformats.org/officeDocument/2006/relationships/hyperlink" Target="https://cdo-global.ru/solutions/270/"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nyp4jiwfhgav6jb5tn4g4" Type="http://schemas.openxmlformats.org/officeDocument/2006/relationships/hyperlink" Target="https://cdo-global.ru/solutions/270/"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заполненного соглашения по Приказу Минцифры № 270</dc:title>
  <dc:creator>CDO Global</dc:creator>
  <cp:lastModifiedBy>Un-named</cp:lastModifiedBy>
  <cp:revision>1</cp:revision>
  <dcterms:created xsi:type="dcterms:W3CDTF">2026-06-28T15:50:45.294Z</dcterms:created>
  <dcterms:modified xsi:type="dcterms:W3CDTF">2026-06-28T15:50:45.294Z</dcterms:modified>
</cp:coreProperties>
</file>

<file path=docProps/custom.xml><?xml version="1.0" encoding="utf-8"?>
<Properties xmlns="http://schemas.openxmlformats.org/officeDocument/2006/custom-properties" xmlns:vt="http://schemas.openxmlformats.org/officeDocument/2006/docPropsVTypes"/>
</file>